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413" w:rsidRDefault="00E938AF">
      <w:pPr>
        <w:spacing w:line="259" w:lineRule="auto"/>
        <w:ind w:left="1337" w:right="0"/>
        <w:jc w:val="left"/>
      </w:pPr>
      <w:r>
        <w:rPr>
          <w:noProof/>
        </w:rPr>
        <w:drawing>
          <wp:anchor distT="0" distB="0" distL="114300" distR="114300" simplePos="0" relativeHeight="251658240" behindDoc="0" locked="0" layoutInCell="1" allowOverlap="1">
            <wp:simplePos x="0" y="0"/>
            <wp:positionH relativeFrom="column">
              <wp:posOffset>4587240</wp:posOffset>
            </wp:positionH>
            <wp:positionV relativeFrom="paragraph">
              <wp:posOffset>-747395</wp:posOffset>
            </wp:positionV>
            <wp:extent cx="1781175" cy="981075"/>
            <wp:effectExtent l="0" t="0" r="9525" b="9525"/>
            <wp:wrapNone/>
            <wp:docPr id="1" name="Grafik 1" descr="C:\Users\Lena Bethscheide\AppData\Local\Microsoft\Windows\Temporary Internet Files\Content.Outlook\0D9RPFAF\GWH-Wappen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 Bethscheide\AppData\Local\Microsoft\Windows\Temporary Internet Files\Content.Outlook\0D9RPFAF\GWH-Wappen2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175" cy="981075"/>
                    </a:xfrm>
                    <a:prstGeom prst="rect">
                      <a:avLst/>
                    </a:prstGeom>
                    <a:noFill/>
                    <a:ln>
                      <a:noFill/>
                    </a:ln>
                  </pic:spPr>
                </pic:pic>
              </a:graphicData>
            </a:graphic>
          </wp:anchor>
        </w:drawing>
      </w:r>
      <w:r>
        <w:rPr>
          <w:b/>
          <w:sz w:val="28"/>
        </w:rPr>
        <w:t xml:space="preserve">Ergänzende Bestimmungen zur </w:t>
      </w:r>
    </w:p>
    <w:p w:rsidR="00390413" w:rsidRDefault="00E938AF">
      <w:pPr>
        <w:spacing w:line="259" w:lineRule="auto"/>
        <w:ind w:left="3420" w:right="0" w:firstLine="0"/>
        <w:jc w:val="left"/>
      </w:pPr>
      <w:r>
        <w:rPr>
          <w:b/>
          <w:sz w:val="28"/>
        </w:rPr>
        <w:t xml:space="preserve"> </w:t>
      </w:r>
    </w:p>
    <w:p w:rsidR="00390413" w:rsidRDefault="00E938AF">
      <w:pPr>
        <w:spacing w:line="259" w:lineRule="auto"/>
        <w:ind w:left="489" w:right="0"/>
        <w:jc w:val="left"/>
      </w:pPr>
      <w:r>
        <w:rPr>
          <w:b/>
          <w:sz w:val="28"/>
        </w:rPr>
        <w:t xml:space="preserve">„Verordnung über Allgemeine Bedingungen </w:t>
      </w:r>
    </w:p>
    <w:p w:rsidR="00390413" w:rsidRDefault="00E938AF">
      <w:pPr>
        <w:spacing w:line="259" w:lineRule="auto"/>
        <w:ind w:left="3420" w:right="0" w:firstLine="0"/>
        <w:jc w:val="left"/>
      </w:pPr>
      <w:r>
        <w:rPr>
          <w:b/>
          <w:sz w:val="28"/>
        </w:rPr>
        <w:t xml:space="preserve"> </w:t>
      </w:r>
    </w:p>
    <w:p w:rsidR="00390413" w:rsidRDefault="00E938AF">
      <w:pPr>
        <w:spacing w:line="259" w:lineRule="auto"/>
        <w:ind w:left="1212" w:right="0"/>
        <w:jc w:val="left"/>
      </w:pPr>
      <w:r>
        <w:rPr>
          <w:b/>
          <w:sz w:val="28"/>
        </w:rPr>
        <w:t xml:space="preserve">für die Versorgung mit Wasser </w:t>
      </w:r>
    </w:p>
    <w:p w:rsidR="00390413" w:rsidRDefault="00E938AF">
      <w:pPr>
        <w:spacing w:line="259" w:lineRule="auto"/>
        <w:ind w:left="3240" w:right="0" w:firstLine="0"/>
        <w:jc w:val="left"/>
      </w:pPr>
      <w:r>
        <w:rPr>
          <w:b/>
          <w:sz w:val="28"/>
        </w:rPr>
        <w:t xml:space="preserve"> </w:t>
      </w:r>
    </w:p>
    <w:p w:rsidR="00390413" w:rsidRDefault="00E938AF">
      <w:pPr>
        <w:spacing w:line="259" w:lineRule="auto"/>
        <w:ind w:left="2199" w:right="0"/>
        <w:jc w:val="left"/>
      </w:pPr>
      <w:r>
        <w:rPr>
          <w:b/>
          <w:sz w:val="28"/>
        </w:rPr>
        <w:t>(</w:t>
      </w:r>
      <w:proofErr w:type="spellStart"/>
      <w:r>
        <w:rPr>
          <w:b/>
          <w:sz w:val="28"/>
        </w:rPr>
        <w:t>AVBWasserV</w:t>
      </w:r>
      <w:proofErr w:type="spellEnd"/>
      <w:r>
        <w:rPr>
          <w:b/>
          <w:sz w:val="28"/>
        </w:rPr>
        <w:t xml:space="preserve">)“ </w:t>
      </w:r>
    </w:p>
    <w:p w:rsidR="00390413" w:rsidRDefault="00E938AF">
      <w:pPr>
        <w:spacing w:line="259" w:lineRule="auto"/>
        <w:ind w:left="3240" w:right="0" w:firstLine="0"/>
        <w:jc w:val="left"/>
      </w:pPr>
      <w:r>
        <w:rPr>
          <w:b/>
          <w:sz w:val="28"/>
        </w:rPr>
        <w:t xml:space="preserve"> </w:t>
      </w:r>
    </w:p>
    <w:p w:rsidR="00390413" w:rsidRDefault="00E938AF">
      <w:pPr>
        <w:spacing w:line="259" w:lineRule="auto"/>
        <w:ind w:left="3032" w:right="0"/>
        <w:jc w:val="left"/>
      </w:pPr>
      <w:r>
        <w:rPr>
          <w:b/>
          <w:sz w:val="28"/>
        </w:rPr>
        <w:t xml:space="preserve">der </w:t>
      </w:r>
    </w:p>
    <w:p w:rsidR="00390413" w:rsidRDefault="00E938AF">
      <w:pPr>
        <w:spacing w:line="259" w:lineRule="auto"/>
        <w:ind w:left="3240" w:right="0" w:firstLine="0"/>
        <w:jc w:val="left"/>
      </w:pPr>
      <w:r>
        <w:rPr>
          <w:b/>
          <w:sz w:val="28"/>
        </w:rPr>
        <w:t xml:space="preserve"> </w:t>
      </w:r>
    </w:p>
    <w:p w:rsidR="00390413" w:rsidRDefault="00E938AF">
      <w:pPr>
        <w:spacing w:line="259" w:lineRule="auto"/>
        <w:ind w:left="936" w:right="0"/>
        <w:jc w:val="left"/>
      </w:pPr>
      <w:r>
        <w:rPr>
          <w:b/>
          <w:sz w:val="28"/>
        </w:rPr>
        <w:t xml:space="preserve">Gemeindewerke </w:t>
      </w:r>
      <w:proofErr w:type="spellStart"/>
      <w:r>
        <w:rPr>
          <w:b/>
          <w:sz w:val="28"/>
        </w:rPr>
        <w:t>Heusweiler</w:t>
      </w:r>
      <w:proofErr w:type="spellEnd"/>
      <w:r>
        <w:rPr>
          <w:b/>
          <w:sz w:val="28"/>
        </w:rPr>
        <w:t xml:space="preserve"> GmbH</w:t>
      </w:r>
      <w:r>
        <w:rPr>
          <w:rFonts w:ascii="Times New Roman" w:eastAsia="Times New Roman" w:hAnsi="Times New Roman" w:cs="Times New Roman"/>
          <w:sz w:val="28"/>
          <w:vertAlign w:val="subscript"/>
        </w:rPr>
        <w:t xml:space="preserve">  </w:t>
      </w:r>
    </w:p>
    <w:p w:rsidR="00390413" w:rsidRDefault="00E938AF">
      <w:pPr>
        <w:spacing w:line="259" w:lineRule="auto"/>
        <w:ind w:left="0" w:right="0" w:firstLine="0"/>
        <w:jc w:val="left"/>
      </w:pPr>
      <w:r>
        <w:rPr>
          <w:rFonts w:ascii="Times New Roman" w:eastAsia="Times New Roman" w:hAnsi="Times New Roman" w:cs="Times New Roman"/>
          <w:sz w:val="26"/>
        </w:rPr>
        <w:t xml:space="preserve"> </w:t>
      </w:r>
    </w:p>
    <w:p w:rsidR="00390413" w:rsidRDefault="00E938AF">
      <w:pPr>
        <w:spacing w:line="259" w:lineRule="auto"/>
        <w:ind w:left="0" w:right="0" w:firstLine="0"/>
        <w:jc w:val="left"/>
      </w:pPr>
      <w:r>
        <w:rPr>
          <w:rFonts w:ascii="Times New Roman" w:eastAsia="Times New Roman" w:hAnsi="Times New Roman" w:cs="Times New Roman"/>
          <w:sz w:val="26"/>
        </w:rPr>
        <w:t xml:space="preserve"> </w:t>
      </w:r>
    </w:p>
    <w:p w:rsidR="00390413" w:rsidRDefault="00E938AF">
      <w:pPr>
        <w:spacing w:line="259" w:lineRule="auto"/>
        <w:ind w:left="0" w:right="0" w:firstLine="0"/>
        <w:jc w:val="left"/>
      </w:pPr>
      <w:r>
        <w:rPr>
          <w:rFonts w:ascii="Times New Roman" w:eastAsia="Times New Roman" w:hAnsi="Times New Roman" w:cs="Times New Roman"/>
          <w:sz w:val="26"/>
        </w:rPr>
        <w:t xml:space="preserve"> </w:t>
      </w:r>
    </w:p>
    <w:p w:rsidR="00390413" w:rsidRDefault="00E938AF">
      <w:pPr>
        <w:pStyle w:val="berschrift1"/>
        <w:ind w:left="-5"/>
      </w:pPr>
      <w:r>
        <w:t xml:space="preserve">Durch Gesellschafterbeschluss der Gemeindewerke </w:t>
      </w:r>
      <w:proofErr w:type="spellStart"/>
      <w:r>
        <w:t>Heusweiler</w:t>
      </w:r>
      <w:proofErr w:type="spellEnd"/>
      <w:r>
        <w:t xml:space="preserve"> GmbH vom </w:t>
      </w:r>
    </w:p>
    <w:p w:rsidR="00390413" w:rsidRDefault="00E938AF">
      <w:pPr>
        <w:spacing w:after="5" w:line="250" w:lineRule="auto"/>
        <w:ind w:left="-5" w:right="0"/>
      </w:pPr>
      <w:r>
        <w:rPr>
          <w:b/>
        </w:rPr>
        <w:t>21.11.2012 werden die Ergänzenden Bestimmungen zur „Verordnung über die Allgemeine Bedingungen für die Versorgung mit Wasser (</w:t>
      </w:r>
      <w:proofErr w:type="spellStart"/>
      <w:r>
        <w:rPr>
          <w:b/>
        </w:rPr>
        <w:t>AVBWasserV</w:t>
      </w:r>
      <w:proofErr w:type="spellEnd"/>
      <w:r>
        <w:rPr>
          <w:b/>
        </w:rPr>
        <w:t xml:space="preserve">) ab 01.01.2013 wie folgt neu gefasst. </w:t>
      </w:r>
    </w:p>
    <w:p w:rsidR="00390413" w:rsidRDefault="00E938AF">
      <w:pPr>
        <w:spacing w:line="259" w:lineRule="auto"/>
        <w:ind w:left="0" w:right="0" w:firstLine="0"/>
        <w:jc w:val="left"/>
      </w:pPr>
      <w:r>
        <w:t xml:space="preserve"> </w:t>
      </w:r>
    </w:p>
    <w:p w:rsidR="00390413" w:rsidRDefault="00E938AF">
      <w:pPr>
        <w:ind w:left="-5" w:right="0"/>
      </w:pPr>
      <w:r>
        <w:t>Die Ergänzenden Bestimmungen gelten als Vertragsgrundlage für die Wasserabnehm</w:t>
      </w:r>
      <w:r>
        <w:t xml:space="preserve">er der Gemeindewerke </w:t>
      </w:r>
      <w:proofErr w:type="spellStart"/>
      <w:r>
        <w:t>Heusweiler</w:t>
      </w:r>
      <w:proofErr w:type="spellEnd"/>
      <w:r>
        <w:t xml:space="preserve"> GmbH, im Folgenden „GWH“ genannt. </w:t>
      </w:r>
    </w:p>
    <w:p w:rsidR="00390413" w:rsidRDefault="00E938AF">
      <w:pPr>
        <w:spacing w:line="259" w:lineRule="auto"/>
        <w:ind w:left="0" w:right="0" w:firstLine="0"/>
        <w:jc w:val="left"/>
      </w:pPr>
      <w:r>
        <w:t xml:space="preserve"> </w:t>
      </w:r>
    </w:p>
    <w:p w:rsidR="00390413" w:rsidRDefault="00E938AF">
      <w:pPr>
        <w:ind w:left="-5" w:right="0"/>
      </w:pPr>
      <w:r>
        <w:t xml:space="preserve">Alle bis zum 31.12.2012 bestehenden Versorgungsverträge behalten, soweit sie der </w:t>
      </w:r>
    </w:p>
    <w:p w:rsidR="00390413" w:rsidRDefault="00E938AF">
      <w:pPr>
        <w:ind w:left="-5" w:right="0"/>
      </w:pPr>
      <w:r>
        <w:t>„Verordnung über die Allgemeinen Bedingungen für die Versorgung mit Wasser (</w:t>
      </w:r>
      <w:proofErr w:type="spellStart"/>
      <w:r>
        <w:t>AVBWasserV</w:t>
      </w:r>
      <w:proofErr w:type="spellEnd"/>
      <w:r>
        <w:t xml:space="preserve">)“ vom 20.06.1980, </w:t>
      </w:r>
      <w:r>
        <w:t xml:space="preserve">in der jeweils geltenden Fassung, entsprechen, ihre Gültigkeit. </w:t>
      </w:r>
    </w:p>
    <w:p w:rsidR="00390413" w:rsidRDefault="00E938AF">
      <w:pPr>
        <w:spacing w:line="259" w:lineRule="auto"/>
        <w:ind w:left="0" w:right="0" w:firstLine="0"/>
        <w:jc w:val="left"/>
      </w:pPr>
      <w:r>
        <w:t xml:space="preserve"> </w:t>
      </w:r>
    </w:p>
    <w:p w:rsidR="00390413" w:rsidRDefault="00E938AF">
      <w:pPr>
        <w:ind w:left="-5" w:right="0"/>
      </w:pPr>
      <w:r>
        <w:t>Jede an diesem Tag bestehende Wasserversorgung durch die GWH, für die kein schriftlicher Vertrag besteht, gilt, „als ob“ schriftliche Vereinbarungen bestehen würden. (Gemäß § 2 der Verordnu</w:t>
      </w:r>
      <w:r>
        <w:t>ng über Allgemeine Bedingungen für die Versorgung mit Wasser (</w:t>
      </w:r>
      <w:proofErr w:type="spellStart"/>
      <w:r>
        <w:t>AVBWasserV</w:t>
      </w:r>
      <w:proofErr w:type="spellEnd"/>
      <w:r>
        <w:t xml:space="preserve">)).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proofErr w:type="spellStart"/>
      <w:r>
        <w:t>Vertragsabschluß</w:t>
      </w:r>
      <w:proofErr w:type="spellEnd"/>
      <w:r>
        <w:t xml:space="preserve"> (§ 2 </w:t>
      </w:r>
      <w:proofErr w:type="spellStart"/>
      <w:r>
        <w:t>AVBWasserV</w:t>
      </w:r>
      <w:proofErr w:type="spellEnd"/>
      <w:r>
        <w:t xml:space="preserve">) </w:t>
      </w:r>
    </w:p>
    <w:p w:rsidR="00390413" w:rsidRDefault="00E938AF">
      <w:pPr>
        <w:spacing w:line="259" w:lineRule="auto"/>
        <w:ind w:left="0" w:right="0" w:firstLine="0"/>
        <w:jc w:val="left"/>
      </w:pPr>
      <w:r>
        <w:t xml:space="preserve"> </w:t>
      </w:r>
    </w:p>
    <w:p w:rsidR="00390413" w:rsidRDefault="00E938AF">
      <w:pPr>
        <w:ind w:left="-5" w:right="0"/>
      </w:pPr>
      <w:r>
        <w:t xml:space="preserve">Die GWH ist bereit, zu den nachstehenden Ergänzenden Bestimmungen einen Versorgungsvertrag mit einem Wasserabnehmer abzuschließen. </w:t>
      </w:r>
    </w:p>
    <w:p w:rsidR="00390413" w:rsidRDefault="00E938AF">
      <w:pPr>
        <w:spacing w:line="259" w:lineRule="auto"/>
        <w:ind w:left="0" w:right="0" w:firstLine="0"/>
        <w:jc w:val="left"/>
      </w:pPr>
      <w:r>
        <w:lastRenderedPageBreak/>
        <w:t xml:space="preserve"> </w:t>
      </w:r>
    </w:p>
    <w:p w:rsidR="00390413" w:rsidRDefault="00E938AF">
      <w:pPr>
        <w:spacing w:line="259" w:lineRule="auto"/>
        <w:ind w:left="0" w:right="0" w:firstLine="0"/>
        <w:jc w:val="left"/>
      </w:pPr>
      <w:r>
        <w:t xml:space="preserve"> </w:t>
      </w:r>
    </w:p>
    <w:p w:rsidR="00390413" w:rsidRDefault="00E938AF">
      <w:pPr>
        <w:ind w:left="-5" w:right="0"/>
      </w:pPr>
      <w:r>
        <w:t xml:space="preserve">Die GWH schließt grundsätzlich den Versorgungsvertrag mit dem Eigentümer des zu versorgenden Grundstücks ab. Ist das Grundstück mit einem Erbbaurecht belastet, wird der Vertrag mit dem Erbbauberechtigten abgeschlossen.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ind w:left="-5" w:right="0"/>
      </w:pPr>
      <w:r>
        <w:t xml:space="preserve">In Ausnahmefällen kann der Vertrag auch mit dem Nutzungsberechtigten des Grundstücks – Mieter, Pächter, Nießbraucher – abgeschlossen werden, wenn der Eigentümer oder Erbbauberechtigte sich zur Erfüllung des Vertrages mit verpflichtet. </w:t>
      </w:r>
    </w:p>
    <w:p w:rsidR="00390413" w:rsidRDefault="00E938AF">
      <w:pPr>
        <w:spacing w:line="259" w:lineRule="auto"/>
        <w:ind w:left="0" w:right="0" w:firstLine="0"/>
        <w:jc w:val="left"/>
      </w:pPr>
      <w:r>
        <w:t xml:space="preserve"> </w:t>
      </w:r>
    </w:p>
    <w:p w:rsidR="00390413" w:rsidRDefault="00E938AF">
      <w:pPr>
        <w:ind w:left="-5" w:right="0"/>
      </w:pPr>
      <w:r>
        <w:t>Steht das Eigentum</w:t>
      </w:r>
      <w:r>
        <w:t xml:space="preserve"> an dem versorgten Grundstück einer Gemeinschaft von Wohnungseigentümern im Sinne des Wohnungseigentumsgesetzes zu, so wird der Versorgungsvertrag mit dem Verband der Wohnungseigentümer abgeschlossen. </w:t>
      </w:r>
    </w:p>
    <w:p w:rsidR="00390413" w:rsidRDefault="00E938AF">
      <w:pPr>
        <w:spacing w:line="259" w:lineRule="auto"/>
        <w:ind w:left="0" w:right="0" w:firstLine="0"/>
        <w:jc w:val="left"/>
      </w:pPr>
      <w:r>
        <w:t xml:space="preserve"> </w:t>
      </w:r>
    </w:p>
    <w:p w:rsidR="00390413" w:rsidRDefault="00E938AF">
      <w:pPr>
        <w:ind w:left="-5" w:right="0"/>
      </w:pPr>
      <w:r>
        <w:t>Steht das Eigentum an dem versorgten Grundstück mehr</w:t>
      </w:r>
      <w:r>
        <w:t>eren Personen gemeinschaftlich zu (</w:t>
      </w:r>
      <w:proofErr w:type="spellStart"/>
      <w:r>
        <w:t>Gesamthandseigentum</w:t>
      </w:r>
      <w:proofErr w:type="spellEnd"/>
      <w:r>
        <w:t xml:space="preserve"> und Miteigentum nach Bruchteilen), wird der Versorgungsvertrag mit der Eigentümergemeinschaft abgeschlossen. Jeder Eigentümer haftet als Gesamtschuldner. </w:t>
      </w:r>
    </w:p>
    <w:p w:rsidR="00390413" w:rsidRDefault="00E938AF">
      <w:pPr>
        <w:spacing w:line="259" w:lineRule="auto"/>
        <w:ind w:left="0" w:right="0" w:firstLine="0"/>
        <w:jc w:val="left"/>
      </w:pPr>
      <w:r>
        <w:t xml:space="preserve"> </w:t>
      </w:r>
    </w:p>
    <w:p w:rsidR="00390413" w:rsidRDefault="00E938AF">
      <w:pPr>
        <w:ind w:left="-5" w:right="0"/>
      </w:pPr>
      <w:r>
        <w:t>Die Eigentümergemeinschaft verpflichtet sich</w:t>
      </w:r>
      <w:r>
        <w:t>, eine Person zu bevollmächtigen, alle Rechtsgeschäfte, die sich aus dem Versorgungsvertrag ergeben, mit Wirkung für und gegen alle Eigentümer mit der GWH abzuschließen und personelle Änderungen, die die Haftung der Eigentümer berühren, der GWH unverzüglic</w:t>
      </w:r>
      <w:r>
        <w:t xml:space="preserve">h mitzuteilen. Wird ein Vertreter nicht benannt, so sind die an einen Eigentümer abgegebenen Erklärungen der GWH auch für die übrigen Eigentümer rechtswirksam.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Hausanschluss (§ 10 </w:t>
      </w:r>
      <w:proofErr w:type="spellStart"/>
      <w:r>
        <w:t>AVBWasserV</w:t>
      </w:r>
      <w:proofErr w:type="spellEnd"/>
      <w:r>
        <w:t xml:space="preserve">) </w:t>
      </w:r>
    </w:p>
    <w:p w:rsidR="00390413" w:rsidRDefault="00E938AF">
      <w:pPr>
        <w:spacing w:line="259" w:lineRule="auto"/>
        <w:ind w:left="0" w:right="0" w:firstLine="0"/>
        <w:jc w:val="left"/>
      </w:pPr>
      <w:r>
        <w:t xml:space="preserve"> </w:t>
      </w:r>
    </w:p>
    <w:p w:rsidR="00390413" w:rsidRDefault="00E938AF">
      <w:pPr>
        <w:ind w:left="-5" w:right="0"/>
      </w:pPr>
      <w:r>
        <w:t xml:space="preserve">Jedes Grundstück, das eine selbständige wirtschaftliche </w:t>
      </w:r>
      <w:r>
        <w:t xml:space="preserve">Einheit bildet, bzw. jedes </w:t>
      </w:r>
    </w:p>
    <w:p w:rsidR="00390413" w:rsidRDefault="00E938AF">
      <w:pPr>
        <w:ind w:left="-5" w:right="0"/>
      </w:pPr>
      <w:r>
        <w:t xml:space="preserve">Gebäude, dem eine eigene Hausnummer zugeteilt ist, ist über einen eigenen Hausanschluss an das Wasserversorgungsnetz anzuschließen, soweit keine berechtigten Interessen des Anschlussnehmers entgegenstehen. </w:t>
      </w:r>
    </w:p>
    <w:p w:rsidR="00390413" w:rsidRDefault="00E938AF">
      <w:pPr>
        <w:spacing w:line="259" w:lineRule="auto"/>
        <w:ind w:left="0" w:right="0" w:firstLine="0"/>
        <w:jc w:val="left"/>
      </w:pPr>
      <w:r>
        <w:t xml:space="preserve"> </w:t>
      </w:r>
    </w:p>
    <w:p w:rsidR="00390413" w:rsidRDefault="00E938AF">
      <w:pPr>
        <w:ind w:left="-5" w:right="0"/>
      </w:pPr>
      <w:r>
        <w:t xml:space="preserve">Der Anschluss kann </w:t>
      </w:r>
      <w:r>
        <w:t xml:space="preserve">verweigert werden, wenn dieser wegen der Lage des </w:t>
      </w:r>
    </w:p>
    <w:p w:rsidR="00390413" w:rsidRDefault="00E938AF">
      <w:pPr>
        <w:ind w:left="-5" w:right="0"/>
      </w:pPr>
      <w:r>
        <w:lastRenderedPageBreak/>
        <w:t xml:space="preserve">Grundstückes oder aus sonstigen technischen oder betriebswirtschaftlichen Gründen im Einzelfall nicht möglich ist, Schwierigkeiten bereitet oder besondere Maßnahmen erfordert.  </w:t>
      </w:r>
    </w:p>
    <w:p w:rsidR="00390413" w:rsidRDefault="00E938AF">
      <w:pPr>
        <w:spacing w:line="259" w:lineRule="auto"/>
        <w:ind w:left="0" w:right="0" w:firstLine="0"/>
        <w:jc w:val="left"/>
      </w:pPr>
      <w:r>
        <w:t xml:space="preserve"> </w:t>
      </w:r>
    </w:p>
    <w:p w:rsidR="00390413" w:rsidRDefault="00E938AF">
      <w:pPr>
        <w:ind w:left="-5" w:right="0"/>
      </w:pPr>
      <w:r>
        <w:t>Soll trotzdem ein Anschlu</w:t>
      </w:r>
      <w:r>
        <w:t xml:space="preserve">ss erfolgen, so hat der Anschlussnehmer neben den Kosten nach III und VII, die für diesen Anschluss und seine Versorgung zusätzlich entstehenden Kosten zu übernehmen und auf Verlangen hierfür Sicherheit zu leisten. </w:t>
      </w:r>
    </w:p>
    <w:p w:rsidR="00390413" w:rsidRDefault="00E938AF">
      <w:pPr>
        <w:spacing w:line="259" w:lineRule="auto"/>
        <w:ind w:left="0" w:right="0" w:firstLine="0"/>
        <w:jc w:val="left"/>
      </w:pPr>
      <w:r>
        <w:t xml:space="preserve"> </w:t>
      </w:r>
    </w:p>
    <w:p w:rsidR="00390413" w:rsidRDefault="00E938AF">
      <w:pPr>
        <w:ind w:left="-5" w:right="0"/>
      </w:pPr>
      <w:r>
        <w:t>Die Herstellung sowie Veränderungen de</w:t>
      </w:r>
      <w:r>
        <w:t xml:space="preserve">s Hausanschlusses auf Veranlassung des Grundstückseigentümers sind unter Verwendung der Antragsformulare der GWH zu beantragen. </w:t>
      </w:r>
    </w:p>
    <w:p w:rsidR="00390413" w:rsidRDefault="00E938AF">
      <w:pPr>
        <w:spacing w:line="259" w:lineRule="auto"/>
        <w:ind w:left="0" w:right="0" w:firstLine="0"/>
        <w:jc w:val="left"/>
      </w:pPr>
      <w:r>
        <w:t xml:space="preserve"> </w:t>
      </w:r>
    </w:p>
    <w:p w:rsidR="00390413" w:rsidRDefault="00E938AF">
      <w:pPr>
        <w:ind w:left="-5" w:right="0"/>
      </w:pPr>
      <w:r>
        <w:t>Der Grundstückseigentümer erstattet der GWH die Kosten für die Herstellung des Hausanschlusses nach den im Preisblatt der GWH</w:t>
      </w:r>
      <w:r>
        <w:t xml:space="preserve"> zu den Ergänzenden Bestimmungen veröffentlichten Pauschalsätzen.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ind w:left="-5" w:right="0"/>
      </w:pPr>
      <w:r>
        <w:t xml:space="preserve">Der Anschlussnehmer erstattet der GWH die Kosten für Veränderungen des Hausanschlusses, die durch eine Änderung oder Erweiterung seiner Kundenanlage </w:t>
      </w:r>
      <w:r>
        <w:t xml:space="preserve">erforderlich oder aus anderen Gründen von ihm veranlasst werden, nach tatsächlichem Aufwand. </w:t>
      </w:r>
    </w:p>
    <w:p w:rsidR="00390413" w:rsidRDefault="00E938AF">
      <w:pPr>
        <w:spacing w:line="259" w:lineRule="auto"/>
        <w:ind w:left="0" w:right="0" w:firstLine="0"/>
        <w:jc w:val="left"/>
      </w:pPr>
      <w:r>
        <w:t xml:space="preserve"> </w:t>
      </w:r>
    </w:p>
    <w:p w:rsidR="00390413" w:rsidRDefault="00E938AF">
      <w:pPr>
        <w:ind w:left="-5" w:right="0"/>
      </w:pPr>
      <w:r>
        <w:t xml:space="preserve">Der Anschlussnehmer hat auf Verlangen der GWH für die Herstellung oder Änderung des Hausanschlusses einen Kostenvorschuss oder eine Sicherheit zu leisten. </w:t>
      </w:r>
    </w:p>
    <w:p w:rsidR="00390413" w:rsidRDefault="00E938AF">
      <w:pPr>
        <w:spacing w:line="259" w:lineRule="auto"/>
        <w:ind w:left="0" w:right="0" w:firstLine="0"/>
        <w:jc w:val="left"/>
      </w:pPr>
      <w:r>
        <w:t xml:space="preserve"> </w:t>
      </w:r>
    </w:p>
    <w:p w:rsidR="00390413" w:rsidRDefault="00E938AF">
      <w:pPr>
        <w:ind w:left="-5" w:right="0"/>
      </w:pPr>
      <w:r>
        <w:t>Na</w:t>
      </w:r>
      <w:r>
        <w:t xml:space="preserve">ch Beendigung des Versorgungsvertrages ist die GWH berechtigt, die Hausanschlussleitung zu beseitigen oder von der Versorgungsleitung abzutrennen.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Fälligkeit </w:t>
      </w:r>
    </w:p>
    <w:p w:rsidR="00390413" w:rsidRDefault="00E938AF">
      <w:pPr>
        <w:spacing w:line="259" w:lineRule="auto"/>
        <w:ind w:left="0" w:right="0" w:firstLine="0"/>
        <w:jc w:val="left"/>
      </w:pPr>
      <w:r>
        <w:rPr>
          <w:sz w:val="22"/>
        </w:rPr>
        <w:t xml:space="preserve"> </w:t>
      </w:r>
    </w:p>
    <w:p w:rsidR="00390413" w:rsidRDefault="00E938AF">
      <w:pPr>
        <w:ind w:left="-5" w:right="0"/>
      </w:pPr>
      <w:r>
        <w:t>Die Hausanschlusskosten werden zu dem von der GWH angegebenen Zeitpunkt, frühestens jedoch</w:t>
      </w:r>
      <w:r>
        <w:t xml:space="preserve"> zwei Wochen nach Zustellung der Zahlungsaufforderung fällig. Von der Bezahlung der Hausanschlusskosten kann die erstmalige Inbetriebsetzung der Kundenanlage abhängig gemacht werden.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Wirtschaftliche Unzumutbarkeit </w:t>
      </w:r>
    </w:p>
    <w:p w:rsidR="00390413" w:rsidRDefault="00E938AF">
      <w:pPr>
        <w:spacing w:line="259" w:lineRule="auto"/>
        <w:ind w:left="0" w:right="0" w:firstLine="0"/>
        <w:jc w:val="left"/>
      </w:pPr>
      <w:r>
        <w:t xml:space="preserve"> </w:t>
      </w:r>
    </w:p>
    <w:p w:rsidR="00390413" w:rsidRDefault="00E938AF">
      <w:pPr>
        <w:ind w:left="-5" w:right="0"/>
      </w:pPr>
      <w:r>
        <w:lastRenderedPageBreak/>
        <w:t>Zahlungspflichten zur Ausräumung e</w:t>
      </w:r>
      <w:r>
        <w:t xml:space="preserve">iner eventuell bestehenden wirtschaftlichen Unzumutbarkeit des Anschlusses und/oder der Versorgung bleiben von der Ziffer III unberührt.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Messeinrichtungen an der Grundstücksgrenze (§ 11 </w:t>
      </w:r>
      <w:proofErr w:type="spellStart"/>
      <w:r>
        <w:t>AVBWasserV</w:t>
      </w:r>
      <w:proofErr w:type="spellEnd"/>
      <w:r>
        <w:t xml:space="preserve">) </w:t>
      </w:r>
    </w:p>
    <w:p w:rsidR="00390413" w:rsidRDefault="00E938AF">
      <w:pPr>
        <w:spacing w:line="259" w:lineRule="auto"/>
        <w:ind w:left="0" w:right="0" w:firstLine="0"/>
        <w:jc w:val="left"/>
      </w:pPr>
      <w:r>
        <w:t xml:space="preserve"> </w:t>
      </w:r>
    </w:p>
    <w:p w:rsidR="00390413" w:rsidRDefault="00E938AF">
      <w:pPr>
        <w:ind w:left="-5" w:right="0"/>
      </w:pPr>
      <w:r>
        <w:t>Unverhältnismäßig lang im Sinne von § 11, Abs. 1 N</w:t>
      </w:r>
      <w:r>
        <w:t xml:space="preserve">r.  2 AVB Wasser V ist eine Anschlussleitung dann, wenn sie eine Länge von 30 m überschreitet.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Inbetriebsetzung (§ 13 </w:t>
      </w:r>
      <w:proofErr w:type="spellStart"/>
      <w:r>
        <w:t>AVBWasserV</w:t>
      </w:r>
      <w:proofErr w:type="spellEnd"/>
      <w:r>
        <w:t xml:space="preserve">) </w:t>
      </w:r>
    </w:p>
    <w:p w:rsidR="00390413" w:rsidRDefault="00E938AF">
      <w:pPr>
        <w:spacing w:line="259" w:lineRule="auto"/>
        <w:ind w:left="0" w:right="0" w:firstLine="0"/>
        <w:jc w:val="left"/>
      </w:pPr>
      <w:r>
        <w:t xml:space="preserve"> </w:t>
      </w:r>
    </w:p>
    <w:p w:rsidR="00390413" w:rsidRDefault="00E938AF">
      <w:pPr>
        <w:ind w:left="-5" w:right="0"/>
      </w:pPr>
      <w:r>
        <w:t xml:space="preserve">Der Kunde erstattet dem Wasserversorgungsunternehmen die Kosten für jede Inbetriebsetzung der Kundenanlage nach den im Preisblatt der GWH zu den Ergänzenden Bestimmungen veröffentlichten Pauschalsätzen.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Zutrittsrecht (zu § 16 </w:t>
      </w:r>
      <w:proofErr w:type="spellStart"/>
      <w:r>
        <w:t>AVBWasserV</w:t>
      </w:r>
      <w:proofErr w:type="spellEnd"/>
      <w:r>
        <w:t xml:space="preserve">) </w:t>
      </w:r>
    </w:p>
    <w:p w:rsidR="00390413" w:rsidRDefault="00E938AF">
      <w:pPr>
        <w:spacing w:line="259" w:lineRule="auto"/>
        <w:ind w:left="0" w:right="0" w:firstLine="0"/>
        <w:jc w:val="left"/>
      </w:pPr>
      <w:r>
        <w:t xml:space="preserve"> </w:t>
      </w:r>
    </w:p>
    <w:p w:rsidR="00390413" w:rsidRDefault="00E938AF">
      <w:pPr>
        <w:ind w:left="-5" w:right="0"/>
      </w:pPr>
      <w:r>
        <w:t xml:space="preserve">Der Kunde </w:t>
      </w:r>
      <w:r>
        <w:t xml:space="preserve">gestattet dem mit einem Ausweis versehenen Beauftragten der GWH den Zutritt zu seinen Räumen und zu den in § 11 </w:t>
      </w:r>
      <w:proofErr w:type="spellStart"/>
      <w:r>
        <w:t>AVBWasserV</w:t>
      </w:r>
      <w:proofErr w:type="spellEnd"/>
      <w:r>
        <w:t xml:space="preserve"> genannten Einrichtungen, soweit dies für die Prüfung der technischen Einrichtungen, zur Wahrnehmung sonstiger Rechte und Pflichten na</w:t>
      </w:r>
      <w:r>
        <w:t xml:space="preserve">ch der </w:t>
      </w:r>
      <w:proofErr w:type="spellStart"/>
      <w:r>
        <w:t>AVBWasserV</w:t>
      </w:r>
      <w:proofErr w:type="spellEnd"/>
      <w:r>
        <w:t xml:space="preserve"> oder zur Ermittlung preisrechtlicher Bemessungsgrundlagen erforderlich ist. </w:t>
      </w:r>
    </w:p>
    <w:p w:rsidR="00390413" w:rsidRDefault="00E938AF">
      <w:pPr>
        <w:spacing w:line="259" w:lineRule="auto"/>
        <w:ind w:left="0" w:right="0" w:firstLine="0"/>
        <w:jc w:val="left"/>
      </w:pPr>
      <w:r>
        <w:t xml:space="preserve"> </w:t>
      </w:r>
    </w:p>
    <w:p w:rsidR="00390413" w:rsidRDefault="00E938AF">
      <w:pPr>
        <w:pStyle w:val="berschrift1"/>
        <w:ind w:left="-5"/>
      </w:pPr>
      <w:r>
        <w:t xml:space="preserve">Wasserabgabe für Bau- oder sonstige vorübergehende Zwecke (§ 22 </w:t>
      </w:r>
      <w:proofErr w:type="spellStart"/>
      <w:r>
        <w:t>AVBWasserV</w:t>
      </w:r>
      <w:proofErr w:type="spellEnd"/>
      <w:r>
        <w:t xml:space="preserve">) </w:t>
      </w:r>
    </w:p>
    <w:p w:rsidR="00390413" w:rsidRDefault="00E938AF">
      <w:pPr>
        <w:spacing w:line="259" w:lineRule="auto"/>
        <w:ind w:left="0" w:right="0" w:firstLine="0"/>
        <w:jc w:val="left"/>
      </w:pPr>
      <w:r>
        <w:t xml:space="preserve"> </w:t>
      </w:r>
    </w:p>
    <w:p w:rsidR="00390413" w:rsidRDefault="00E938AF">
      <w:pPr>
        <w:ind w:left="-5" w:right="0"/>
      </w:pPr>
      <w:r>
        <w:t>Standrohre zur Abgabe von Bauwasser oder für andere vorübergehende Zwecke werden</w:t>
      </w:r>
      <w:r>
        <w:t xml:space="preserve"> von der GWH unter folgenden Bedingungen vermietet. </w:t>
      </w:r>
    </w:p>
    <w:p w:rsidR="00390413" w:rsidRDefault="00E938AF">
      <w:pPr>
        <w:spacing w:line="259" w:lineRule="auto"/>
        <w:ind w:left="0" w:right="0" w:firstLine="0"/>
        <w:jc w:val="left"/>
      </w:pPr>
      <w:r>
        <w:t xml:space="preserve"> </w:t>
      </w:r>
    </w:p>
    <w:p w:rsidR="00390413" w:rsidRDefault="00E938AF">
      <w:pPr>
        <w:ind w:left="-5" w:right="0"/>
      </w:pPr>
      <w:r>
        <w:t xml:space="preserve">Bei der Vermietung eines Standrohres haftet der Mieter für Beschädigungen aller </w:t>
      </w:r>
    </w:p>
    <w:p w:rsidR="00390413" w:rsidRDefault="00E938AF">
      <w:pPr>
        <w:ind w:left="-5" w:right="0"/>
      </w:pPr>
      <w:r>
        <w:t xml:space="preserve">Art, sowohl für Schäden am Mietgegenstand als auch für alle Schäden, die durch </w:t>
      </w:r>
    </w:p>
    <w:p w:rsidR="00390413" w:rsidRDefault="00E938AF">
      <w:pPr>
        <w:ind w:left="-5" w:right="0"/>
      </w:pPr>
      <w:r>
        <w:t>Gebrauch des Standrohres an Hydranten, L</w:t>
      </w:r>
      <w:r>
        <w:t xml:space="preserve">eitungseinrichtungen und </w:t>
      </w:r>
      <w:proofErr w:type="spellStart"/>
      <w:r>
        <w:t>Hydrantenschächten</w:t>
      </w:r>
      <w:proofErr w:type="spellEnd"/>
      <w:r>
        <w:t xml:space="preserve">, auch durch Verunreinigung, der GWH oder dritten Personen entstehen. Bei Verlust des Standrohres hat der Mieter vollen Ersatz zu leisten. </w:t>
      </w:r>
    </w:p>
    <w:p w:rsidR="00390413" w:rsidRDefault="00E938AF">
      <w:pPr>
        <w:spacing w:line="259" w:lineRule="auto"/>
        <w:ind w:left="0" w:right="0" w:firstLine="0"/>
        <w:jc w:val="left"/>
      </w:pPr>
      <w:r>
        <w:t xml:space="preserve"> </w:t>
      </w:r>
    </w:p>
    <w:p w:rsidR="00390413" w:rsidRDefault="00E938AF">
      <w:pPr>
        <w:ind w:left="-5" w:right="0"/>
      </w:pPr>
      <w:r>
        <w:lastRenderedPageBreak/>
        <w:t>Das gemietete Standrohr ist bis spätestens 23. Dezember eines jeden Jah</w:t>
      </w:r>
      <w:r>
        <w:t xml:space="preserve">res vom Mieter im Kunden-Center der GWH zur Ablesung und Überprüfung vorzuzeigen. </w:t>
      </w:r>
    </w:p>
    <w:p w:rsidR="00390413" w:rsidRDefault="00E938AF">
      <w:pPr>
        <w:ind w:left="-5" w:right="0"/>
      </w:pPr>
      <w:r>
        <w:t>Bereitstellungs- und Verbrauchspreis werden gemäß Preisliste der GWH in Rechnung gestellt. Die Abgabe eines Standrohres erfolgt nur unter gleichzeitiger Stellung einer Kauti</w:t>
      </w:r>
      <w:r>
        <w:t xml:space="preserve">on gemäß Preisliste der GWH.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Ablesung und Abrechnung (§§ 20, 24 und 25 </w:t>
      </w:r>
      <w:proofErr w:type="spellStart"/>
      <w:r>
        <w:t>AVBWasserV</w:t>
      </w:r>
      <w:proofErr w:type="spellEnd"/>
      <w:r>
        <w:t xml:space="preserve">) </w:t>
      </w:r>
    </w:p>
    <w:p w:rsidR="00390413" w:rsidRDefault="00E938AF">
      <w:pPr>
        <w:spacing w:line="259" w:lineRule="auto"/>
        <w:ind w:left="0" w:right="0" w:firstLine="0"/>
        <w:jc w:val="left"/>
      </w:pPr>
      <w:r>
        <w:t xml:space="preserve"> </w:t>
      </w:r>
    </w:p>
    <w:p w:rsidR="00390413" w:rsidRDefault="00E938AF">
      <w:pPr>
        <w:ind w:left="-5" w:right="0"/>
      </w:pPr>
      <w:r>
        <w:t xml:space="preserve">Zählerablesung und Abrechnung erfolgen grundsätzlich in 12 monatlichen Abständen. Die GWH erhebt vierteljährliche Abschlagszahlungen.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Zahlungsverzug, </w:t>
      </w:r>
      <w:r>
        <w:tab/>
        <w:t xml:space="preserve">Einstellung </w:t>
      </w:r>
      <w:r>
        <w:tab/>
        <w:t xml:space="preserve">und </w:t>
      </w:r>
      <w:r>
        <w:tab/>
        <w:t xml:space="preserve">Wiederaufnahme </w:t>
      </w:r>
      <w:r>
        <w:tab/>
        <w:t xml:space="preserve">der </w:t>
      </w:r>
      <w:r>
        <w:tab/>
      </w:r>
      <w:proofErr w:type="gramStart"/>
      <w:r>
        <w:t>Versorgung  (</w:t>
      </w:r>
      <w:proofErr w:type="gramEnd"/>
      <w:r>
        <w:t xml:space="preserve">§§ 27, 33 </w:t>
      </w:r>
      <w:proofErr w:type="spellStart"/>
      <w:r>
        <w:t>AVBWasserV</w:t>
      </w:r>
      <w:proofErr w:type="spellEnd"/>
      <w:r>
        <w:t xml:space="preserve">) </w:t>
      </w:r>
    </w:p>
    <w:p w:rsidR="00390413" w:rsidRDefault="00E938AF">
      <w:pPr>
        <w:spacing w:line="259" w:lineRule="auto"/>
        <w:ind w:left="0" w:right="0" w:firstLine="0"/>
        <w:jc w:val="left"/>
      </w:pPr>
      <w:r>
        <w:t xml:space="preserve"> </w:t>
      </w:r>
    </w:p>
    <w:p w:rsidR="00390413" w:rsidRDefault="00E938AF">
      <w:pPr>
        <w:ind w:left="-5" w:right="0"/>
      </w:pPr>
      <w:r>
        <w:t>Die Kosten aus Zahlungsverzug, einer Einstellung der Versorgung sowie der Wiederaufnahme der Versorgung sind der GWH nach den im Preisblatt der GWH zu den Ergänze</w:t>
      </w:r>
      <w:r>
        <w:t xml:space="preserve">nden Bestimmungen veröffentlichten Pauschalsätzen zu erstatten.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Zeitweilige Absperrung des Anschlusses (§ 32 </w:t>
      </w:r>
      <w:proofErr w:type="spellStart"/>
      <w:r>
        <w:t>ABVWasserV</w:t>
      </w:r>
      <w:proofErr w:type="spellEnd"/>
      <w:r>
        <w:t xml:space="preserve">) </w:t>
      </w:r>
    </w:p>
    <w:p w:rsidR="00390413" w:rsidRDefault="00E938AF">
      <w:pPr>
        <w:spacing w:line="259" w:lineRule="auto"/>
        <w:ind w:left="0" w:right="0" w:firstLine="0"/>
        <w:jc w:val="left"/>
      </w:pPr>
      <w:r>
        <w:t xml:space="preserve"> </w:t>
      </w:r>
    </w:p>
    <w:p w:rsidR="00390413" w:rsidRDefault="00E938AF">
      <w:pPr>
        <w:ind w:left="-5" w:right="0"/>
      </w:pPr>
      <w:r>
        <w:t xml:space="preserve">Der Kunde erstattet der GWH die Kosten für eine von ihm nach § 32 Abs. 7 </w:t>
      </w:r>
      <w:proofErr w:type="spellStart"/>
      <w:r>
        <w:t>AVBWasserV</w:t>
      </w:r>
      <w:proofErr w:type="spellEnd"/>
      <w:r>
        <w:t xml:space="preserve"> beantragte zeitweilige Absperrung des Ansch</w:t>
      </w:r>
      <w:r>
        <w:t xml:space="preserve">lusses und dessen Wiederinbetriebnahme nach tatsächlichem Aufwand.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Auskünfte </w:t>
      </w:r>
    </w:p>
    <w:p w:rsidR="00390413" w:rsidRDefault="00E938AF">
      <w:pPr>
        <w:spacing w:line="259" w:lineRule="auto"/>
        <w:ind w:left="0" w:right="0" w:firstLine="0"/>
        <w:jc w:val="left"/>
      </w:pPr>
      <w:r>
        <w:t xml:space="preserve"> </w:t>
      </w:r>
    </w:p>
    <w:p w:rsidR="00390413" w:rsidRDefault="00E938AF">
      <w:pPr>
        <w:ind w:left="-5" w:right="0"/>
      </w:pPr>
      <w:r>
        <w:t>Die GWH ist berechtigt, dem zuständigen Abwasserentsorgungspflichten für die Berechnung der Schmutzwassergebühren die festgestellte Menge des Frischwasserbezugs des Kunden</w:t>
      </w:r>
      <w:r>
        <w:t xml:space="preserve"> mitzuteilen.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spacing w:line="259" w:lineRule="auto"/>
        <w:ind w:left="0" w:right="0" w:firstLine="0"/>
        <w:jc w:val="left"/>
      </w:pPr>
      <w:r>
        <w:t xml:space="preserve"> </w:t>
      </w:r>
    </w:p>
    <w:p w:rsidR="00390413" w:rsidRDefault="00E938AF">
      <w:pPr>
        <w:pStyle w:val="berschrift1"/>
        <w:ind w:left="-5"/>
      </w:pPr>
      <w:r>
        <w:t xml:space="preserve">Inkrafttreten </w:t>
      </w:r>
    </w:p>
    <w:p w:rsidR="00390413" w:rsidRDefault="00E938AF">
      <w:pPr>
        <w:spacing w:line="259" w:lineRule="auto"/>
        <w:ind w:left="0" w:right="0" w:firstLine="0"/>
        <w:jc w:val="left"/>
      </w:pPr>
      <w:r>
        <w:t xml:space="preserve"> </w:t>
      </w:r>
    </w:p>
    <w:p w:rsidR="00390413" w:rsidRDefault="00E938AF">
      <w:pPr>
        <w:ind w:left="-5" w:right="0"/>
      </w:pPr>
      <w:r>
        <w:t xml:space="preserve">Diese Ergänzenden Bestimmungen treten mit Wirkung zum 01.01.2013 in Kraft. </w:t>
      </w:r>
    </w:p>
    <w:p w:rsidR="00390413" w:rsidRDefault="00E938AF">
      <w:pPr>
        <w:spacing w:line="259" w:lineRule="auto"/>
        <w:ind w:left="0" w:right="0" w:firstLine="0"/>
        <w:jc w:val="left"/>
      </w:pPr>
      <w:r>
        <w:t xml:space="preserve"> </w:t>
      </w:r>
    </w:p>
    <w:p w:rsidR="00390413" w:rsidRDefault="00E938AF">
      <w:pPr>
        <w:ind w:left="-5" w:right="0"/>
      </w:pPr>
      <w:r>
        <w:lastRenderedPageBreak/>
        <w:t xml:space="preserve">Gleichzeitig treten die Ergänzenden Bestimmungen vom 01.01.2005 außer Kraft. </w:t>
      </w:r>
    </w:p>
    <w:p w:rsidR="00390413" w:rsidRDefault="00E938AF">
      <w:pPr>
        <w:spacing w:line="259" w:lineRule="auto"/>
        <w:ind w:left="0" w:right="0" w:firstLine="0"/>
        <w:jc w:val="left"/>
      </w:pPr>
      <w:r>
        <w:rPr>
          <w:rFonts w:ascii="Times New Roman" w:eastAsia="Times New Roman" w:hAnsi="Times New Roman" w:cs="Times New Roman"/>
        </w:rPr>
        <w:t xml:space="preserve"> </w:t>
      </w:r>
      <w:bookmarkStart w:id="0" w:name="_GoBack"/>
      <w:bookmarkEnd w:id="0"/>
    </w:p>
    <w:sectPr w:rsidR="00390413">
      <w:footerReference w:type="even" r:id="rId7"/>
      <w:footerReference w:type="default" r:id="rId8"/>
      <w:footerReference w:type="first" r:id="rId9"/>
      <w:pgSz w:w="11900" w:h="16840"/>
      <w:pgMar w:top="1417" w:right="1480" w:bottom="1327" w:left="1416" w:header="72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38AF">
      <w:pPr>
        <w:spacing w:line="240" w:lineRule="auto"/>
      </w:pPr>
      <w:r>
        <w:separator/>
      </w:r>
    </w:p>
  </w:endnote>
  <w:endnote w:type="continuationSeparator" w:id="0">
    <w:p w:rsidR="00000000" w:rsidRDefault="00E93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13" w:rsidRDefault="00E938AF">
    <w:pPr>
      <w:tabs>
        <w:tab w:val="center" w:pos="9072"/>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10108690</wp:posOffset>
              </wp:positionV>
              <wp:extent cx="5797296" cy="45720"/>
              <wp:effectExtent l="0" t="0" r="0" b="0"/>
              <wp:wrapSquare wrapText="bothSides"/>
              <wp:docPr id="4376" name="Group 4376"/>
              <wp:cNvGraphicFramePr/>
              <a:graphic xmlns:a="http://schemas.openxmlformats.org/drawingml/2006/main">
                <a:graphicData uri="http://schemas.microsoft.com/office/word/2010/wordprocessingGroup">
                  <wpg:wgp>
                    <wpg:cNvGrpSpPr/>
                    <wpg:grpSpPr>
                      <a:xfrm>
                        <a:off x="0" y="0"/>
                        <a:ext cx="5797296" cy="45720"/>
                        <a:chOff x="0" y="0"/>
                        <a:chExt cx="5797296" cy="45720"/>
                      </a:xfrm>
                    </wpg:grpSpPr>
                    <wps:wsp>
                      <wps:cNvPr id="4549" name="Shape 454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550" name="Shape 4550"/>
                      <wps:cNvSpPr/>
                      <wps:spPr>
                        <a:xfrm>
                          <a:off x="0" y="36576"/>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376" style="width:456.48pt;height:3.59998pt;position:absolute;mso-position-horizontal-relative:page;mso-position-horizontal:absolute;margin-left:69.36pt;mso-position-vertical-relative:page;margin-top:795.96pt;" coordsize="57972,457">
              <v:shape id="Shape 4551" style="position:absolute;width:57972;height:274;left:0;top:0;" coordsize="5797296,27432" path="m0,0l5797296,0l5797296,27432l0,27432l0,0">
                <v:stroke weight="0pt" endcap="flat" joinstyle="miter" miterlimit="10" on="false" color="#000000" opacity="0"/>
                <v:fill on="true" color="#0000ff"/>
              </v:shape>
              <v:shape id="Shape 4552" style="position:absolute;width:57972;height:91;left:0;top:365;" coordsize="5797296,9144" path="m0,0l5797296,0l5797296,9144l0,9144l0,0">
                <v:stroke weight="0pt" endcap="flat" joinstyle="miter" miterlimit="10" on="false" color="#000000" opacity="0"/>
                <v:fill on="true" color="#0000ff"/>
              </v:shape>
              <w10:wrap type="square"/>
            </v:group>
          </w:pict>
        </mc:Fallback>
      </mc:AlternateContent>
    </w:r>
    <w:r>
      <w:rPr>
        <w:rFonts w:ascii="Times New Roman" w:eastAsia="Times New Roman" w:hAnsi="Times New Roman" w:cs="Times New Roman"/>
        <w:color w:val="C0C0C0"/>
        <w:sz w:val="10"/>
      </w:rPr>
      <w:t>C:\Users\Irmgard Lang\Lang-23.04.2014\Geschäftsführung\</w:t>
    </w:r>
    <w:proofErr w:type="spellStart"/>
    <w:r>
      <w:rPr>
        <w:rFonts w:ascii="Times New Roman" w:eastAsia="Times New Roman" w:hAnsi="Times New Roman" w:cs="Times New Roman"/>
        <w:color w:val="C0C0C0"/>
        <w:sz w:val="10"/>
      </w:rPr>
      <w:t>AVBWasserV</w:t>
    </w:r>
    <w:proofErr w:type="spellEnd"/>
    <w:r>
      <w:rPr>
        <w:rFonts w:ascii="Times New Roman" w:eastAsia="Times New Roman" w:hAnsi="Times New Roman" w:cs="Times New Roman"/>
        <w:color w:val="C0C0C0"/>
        <w:sz w:val="10"/>
      </w:rPr>
      <w:t xml:space="preserve">\Ergänzende </w:t>
    </w:r>
    <w:proofErr w:type="gramStart"/>
    <w:r>
      <w:rPr>
        <w:rFonts w:ascii="Times New Roman" w:eastAsia="Times New Roman" w:hAnsi="Times New Roman" w:cs="Times New Roman"/>
        <w:color w:val="C0C0C0"/>
        <w:sz w:val="10"/>
      </w:rPr>
      <w:t>Bestimmungen  AVBWasserV-2013.doc</w:t>
    </w:r>
    <w:proofErr w:type="gramEnd"/>
    <w:r>
      <w:rPr>
        <w:rFonts w:ascii="Times New Roman" w:eastAsia="Times New Roman" w:hAnsi="Times New Roman" w:cs="Times New Roman"/>
        <w:color w:val="C0C0C0"/>
        <w:sz w:val="10"/>
      </w:rPr>
      <w:t xml:space="preserve"> </w:t>
    </w:r>
    <w:r>
      <w:rPr>
        <w:rFonts w:ascii="Times New Roman" w:eastAsia="Times New Roman" w:hAnsi="Times New Roman" w:cs="Times New Roman"/>
        <w:color w:val="C0C0C0"/>
        <w:sz w:val="10"/>
      </w:rPr>
      <w:tab/>
    </w:r>
    <w:r>
      <w:rPr>
        <w:rFonts w:ascii="Times New Roman" w:eastAsia="Times New Roman" w:hAnsi="Times New Roman" w:cs="Times New Roman"/>
        <w:color w:val="C0C0C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13" w:rsidRDefault="00E938AF">
    <w:pPr>
      <w:tabs>
        <w:tab w:val="center" w:pos="9072"/>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880872</wp:posOffset>
              </wp:positionH>
              <wp:positionV relativeFrom="page">
                <wp:posOffset>10108690</wp:posOffset>
              </wp:positionV>
              <wp:extent cx="5797296" cy="45720"/>
              <wp:effectExtent l="0" t="0" r="0" b="0"/>
              <wp:wrapSquare wrapText="bothSides"/>
              <wp:docPr id="4365" name="Group 4365"/>
              <wp:cNvGraphicFramePr/>
              <a:graphic xmlns:a="http://schemas.openxmlformats.org/drawingml/2006/main">
                <a:graphicData uri="http://schemas.microsoft.com/office/word/2010/wordprocessingGroup">
                  <wpg:wgp>
                    <wpg:cNvGrpSpPr/>
                    <wpg:grpSpPr>
                      <a:xfrm>
                        <a:off x="0" y="0"/>
                        <a:ext cx="5797296" cy="45720"/>
                        <a:chOff x="0" y="0"/>
                        <a:chExt cx="5797296" cy="45720"/>
                      </a:xfrm>
                    </wpg:grpSpPr>
                    <wps:wsp>
                      <wps:cNvPr id="4545" name="Shape 454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546" name="Shape 4546"/>
                      <wps:cNvSpPr/>
                      <wps:spPr>
                        <a:xfrm>
                          <a:off x="0" y="36576"/>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365" style="width:456.48pt;height:3.59998pt;position:absolute;mso-position-horizontal-relative:page;mso-position-horizontal:absolute;margin-left:69.36pt;mso-position-vertical-relative:page;margin-top:795.96pt;" coordsize="57972,457">
              <v:shape id="Shape 4547" style="position:absolute;width:57972;height:274;left:0;top:0;" coordsize="5797296,27432" path="m0,0l5797296,0l5797296,27432l0,27432l0,0">
                <v:stroke weight="0pt" endcap="flat" joinstyle="miter" miterlimit="10" on="false" color="#000000" opacity="0"/>
                <v:fill on="true" color="#0000ff"/>
              </v:shape>
              <v:shape id="Shape 4548" style="position:absolute;width:57972;height:91;left:0;top:365;" coordsize="5797296,9144" path="m0,0l5797296,0l5797296,9144l0,9144l0,0">
                <v:stroke weight="0pt" endcap="flat" joinstyle="miter" miterlimit="10" on="false" color="#000000" opacity="0"/>
                <v:fill on="true" color="#0000ff"/>
              </v:shape>
              <w10:wrap type="square"/>
            </v:group>
          </w:pict>
        </mc:Fallback>
      </mc:AlternateContent>
    </w:r>
    <w:r>
      <w:rPr>
        <w:rFonts w:ascii="Times New Roman" w:eastAsia="Times New Roman" w:hAnsi="Times New Roman" w:cs="Times New Roman"/>
        <w:color w:val="C0C0C0"/>
        <w:sz w:val="10"/>
      </w:rPr>
      <w:t>C:\Users\Irmgard Lang\Lang-23.04.2014\Geschäftsführung\</w:t>
    </w:r>
    <w:proofErr w:type="spellStart"/>
    <w:r>
      <w:rPr>
        <w:rFonts w:ascii="Times New Roman" w:eastAsia="Times New Roman" w:hAnsi="Times New Roman" w:cs="Times New Roman"/>
        <w:color w:val="C0C0C0"/>
        <w:sz w:val="10"/>
      </w:rPr>
      <w:t>AVBWasserV</w:t>
    </w:r>
    <w:proofErr w:type="spellEnd"/>
    <w:r>
      <w:rPr>
        <w:rFonts w:ascii="Times New Roman" w:eastAsia="Times New Roman" w:hAnsi="Times New Roman" w:cs="Times New Roman"/>
        <w:color w:val="C0C0C0"/>
        <w:sz w:val="10"/>
      </w:rPr>
      <w:t xml:space="preserve">\Ergänzende </w:t>
    </w:r>
    <w:proofErr w:type="gramStart"/>
    <w:r>
      <w:rPr>
        <w:rFonts w:ascii="Times New Roman" w:eastAsia="Times New Roman" w:hAnsi="Times New Roman" w:cs="Times New Roman"/>
        <w:color w:val="C0C0C0"/>
        <w:sz w:val="10"/>
      </w:rPr>
      <w:t>Bestimmungen  AVBWasserV-2013.doc</w:t>
    </w:r>
    <w:proofErr w:type="gramEnd"/>
    <w:r>
      <w:rPr>
        <w:rFonts w:ascii="Times New Roman" w:eastAsia="Times New Roman" w:hAnsi="Times New Roman" w:cs="Times New Roman"/>
        <w:color w:val="C0C0C0"/>
        <w:sz w:val="10"/>
      </w:rPr>
      <w:t xml:space="preserve"> </w:t>
    </w:r>
    <w:r>
      <w:rPr>
        <w:rFonts w:ascii="Times New Roman" w:eastAsia="Times New Roman" w:hAnsi="Times New Roman" w:cs="Times New Roman"/>
        <w:color w:val="C0C0C0"/>
        <w:sz w:val="10"/>
      </w:rPr>
      <w:tab/>
    </w:r>
    <w:r>
      <w:rPr>
        <w:rFonts w:ascii="Times New Roman" w:eastAsia="Times New Roman" w:hAnsi="Times New Roman" w:cs="Times New Roman"/>
        <w:color w:val="C0C0C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413" w:rsidRDefault="00E938AF">
    <w:pPr>
      <w:tabs>
        <w:tab w:val="center" w:pos="9072"/>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10108690</wp:posOffset>
              </wp:positionV>
              <wp:extent cx="5797296" cy="45720"/>
              <wp:effectExtent l="0" t="0" r="0" b="0"/>
              <wp:wrapSquare wrapText="bothSides"/>
              <wp:docPr id="4354" name="Group 4354"/>
              <wp:cNvGraphicFramePr/>
              <a:graphic xmlns:a="http://schemas.openxmlformats.org/drawingml/2006/main">
                <a:graphicData uri="http://schemas.microsoft.com/office/word/2010/wordprocessingGroup">
                  <wpg:wgp>
                    <wpg:cNvGrpSpPr/>
                    <wpg:grpSpPr>
                      <a:xfrm>
                        <a:off x="0" y="0"/>
                        <a:ext cx="5797296" cy="45720"/>
                        <a:chOff x="0" y="0"/>
                        <a:chExt cx="5797296" cy="45720"/>
                      </a:xfrm>
                    </wpg:grpSpPr>
                    <wps:wsp>
                      <wps:cNvPr id="4541" name="Shape 454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4542" name="Shape 4542"/>
                      <wps:cNvSpPr/>
                      <wps:spPr>
                        <a:xfrm>
                          <a:off x="0" y="36576"/>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4354" style="width:456.48pt;height:3.59998pt;position:absolute;mso-position-horizontal-relative:page;mso-position-horizontal:absolute;margin-left:69.36pt;mso-position-vertical-relative:page;margin-top:795.96pt;" coordsize="57972,457">
              <v:shape id="Shape 4543" style="position:absolute;width:57972;height:274;left:0;top:0;" coordsize="5797296,27432" path="m0,0l5797296,0l5797296,27432l0,27432l0,0">
                <v:stroke weight="0pt" endcap="flat" joinstyle="miter" miterlimit="10" on="false" color="#000000" opacity="0"/>
                <v:fill on="true" color="#0000ff"/>
              </v:shape>
              <v:shape id="Shape 4544" style="position:absolute;width:57972;height:91;left:0;top:365;" coordsize="5797296,9144" path="m0,0l5797296,0l5797296,9144l0,9144l0,0">
                <v:stroke weight="0pt" endcap="flat" joinstyle="miter" miterlimit="10" on="false" color="#000000" opacity="0"/>
                <v:fill on="true" color="#0000ff"/>
              </v:shape>
              <w10:wrap type="square"/>
            </v:group>
          </w:pict>
        </mc:Fallback>
      </mc:AlternateContent>
    </w:r>
    <w:r>
      <w:rPr>
        <w:rFonts w:ascii="Times New Roman" w:eastAsia="Times New Roman" w:hAnsi="Times New Roman" w:cs="Times New Roman"/>
        <w:color w:val="C0C0C0"/>
        <w:sz w:val="10"/>
      </w:rPr>
      <w:t>C:\Users\Irmgard Lang\Lang-23.04.2014\Geschäftsführung\</w:t>
    </w:r>
    <w:proofErr w:type="spellStart"/>
    <w:r>
      <w:rPr>
        <w:rFonts w:ascii="Times New Roman" w:eastAsia="Times New Roman" w:hAnsi="Times New Roman" w:cs="Times New Roman"/>
        <w:color w:val="C0C0C0"/>
        <w:sz w:val="10"/>
      </w:rPr>
      <w:t>AVBWasserV</w:t>
    </w:r>
    <w:proofErr w:type="spellEnd"/>
    <w:r>
      <w:rPr>
        <w:rFonts w:ascii="Times New Roman" w:eastAsia="Times New Roman" w:hAnsi="Times New Roman" w:cs="Times New Roman"/>
        <w:color w:val="C0C0C0"/>
        <w:sz w:val="10"/>
      </w:rPr>
      <w:t xml:space="preserve">\Ergänzende </w:t>
    </w:r>
    <w:proofErr w:type="gramStart"/>
    <w:r>
      <w:rPr>
        <w:rFonts w:ascii="Times New Roman" w:eastAsia="Times New Roman" w:hAnsi="Times New Roman" w:cs="Times New Roman"/>
        <w:color w:val="C0C0C0"/>
        <w:sz w:val="10"/>
      </w:rPr>
      <w:t>Bestimmungen  AVBWasserV-2013.doc</w:t>
    </w:r>
    <w:proofErr w:type="gramEnd"/>
    <w:r>
      <w:rPr>
        <w:rFonts w:ascii="Times New Roman" w:eastAsia="Times New Roman" w:hAnsi="Times New Roman" w:cs="Times New Roman"/>
        <w:color w:val="C0C0C0"/>
        <w:sz w:val="10"/>
      </w:rPr>
      <w:t xml:space="preserve"> </w:t>
    </w:r>
    <w:r>
      <w:rPr>
        <w:rFonts w:ascii="Times New Roman" w:eastAsia="Times New Roman" w:hAnsi="Times New Roman" w:cs="Times New Roman"/>
        <w:color w:val="C0C0C0"/>
        <w:sz w:val="10"/>
      </w:rPr>
      <w:tab/>
    </w:r>
    <w:r>
      <w:rPr>
        <w:rFonts w:ascii="Times New Roman" w:eastAsia="Times New Roman" w:hAnsi="Times New Roman" w:cs="Times New Roman"/>
        <w:color w:val="C0C0C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38AF">
      <w:pPr>
        <w:spacing w:line="240" w:lineRule="auto"/>
      </w:pPr>
      <w:r>
        <w:separator/>
      </w:r>
    </w:p>
  </w:footnote>
  <w:footnote w:type="continuationSeparator" w:id="0">
    <w:p w:rsidR="00000000" w:rsidRDefault="00E938A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13"/>
    <w:rsid w:val="00390413"/>
    <w:rsid w:val="00A01CFC"/>
    <w:rsid w:val="00E938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5F159-A75D-45F1-93BE-71CA8836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9" w:lineRule="auto"/>
      <w:ind w:left="10" w:right="2"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5" w:line="250" w:lineRule="auto"/>
      <w:ind w:left="10" w:hanging="10"/>
      <w:jc w:val="both"/>
      <w:outlineLvl w:val="0"/>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4"/>
    </w:rPr>
  </w:style>
  <w:style w:type="paragraph" w:styleId="Kopfzeile">
    <w:name w:val="header"/>
    <w:basedOn w:val="Standard"/>
    <w:link w:val="KopfzeileZchn"/>
    <w:uiPriority w:val="99"/>
    <w:unhideWhenUsed/>
    <w:rsid w:val="00E938A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38A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6827</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Ergänzende Bestimmungen  AVBWasserV-2013</dc:title>
  <dc:subject/>
  <dc:creator>Irmgard Lang</dc:creator>
  <cp:keywords/>
  <cp:lastModifiedBy>Bethscheider Lena</cp:lastModifiedBy>
  <cp:revision>3</cp:revision>
  <dcterms:created xsi:type="dcterms:W3CDTF">2020-07-01T06:15:00Z</dcterms:created>
  <dcterms:modified xsi:type="dcterms:W3CDTF">2020-07-01T06:15:00Z</dcterms:modified>
</cp:coreProperties>
</file>